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</w:rPr>
        <w:t>附件2</w:t>
      </w:r>
    </w:p>
    <w:tbl>
      <w:tblPr>
        <w:tblStyle w:val="12"/>
        <w:tblpPr w:leftFromText="180" w:rightFromText="180" w:vertAnchor="text" w:horzAnchor="page" w:tblpX="1320" w:tblpY="735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078"/>
        <w:gridCol w:w="1192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07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评审因素</w:t>
            </w:r>
          </w:p>
        </w:tc>
        <w:tc>
          <w:tcPr>
            <w:tcW w:w="1192" w:type="dxa"/>
            <w:vAlign w:val="center"/>
          </w:tcPr>
          <w:p>
            <w:pPr>
              <w:spacing w:line="480" w:lineRule="auto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分值</w:t>
            </w:r>
          </w:p>
        </w:tc>
        <w:tc>
          <w:tcPr>
            <w:tcW w:w="5184" w:type="dxa"/>
            <w:vAlign w:val="center"/>
          </w:tcPr>
          <w:p>
            <w:pPr>
              <w:spacing w:line="480" w:lineRule="auto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5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78" w:type="dxa"/>
            <w:vAlign w:val="center"/>
          </w:tcPr>
          <w:p>
            <w:pPr>
              <w:spacing w:line="480" w:lineRule="auto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报价得分</w:t>
            </w:r>
          </w:p>
        </w:tc>
        <w:tc>
          <w:tcPr>
            <w:tcW w:w="1192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5184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投标报价得分＝（评标基准价/投标报价）×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%×100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评标小组一致认定低于成本的报价，作废标处理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05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07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业绩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ascii="宋体" w:hAnsi="宋体"/>
              </w:rPr>
              <w:t>分</w:t>
            </w:r>
          </w:p>
        </w:tc>
        <w:tc>
          <w:tcPr>
            <w:tcW w:w="119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5184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年内承接过</w:t>
            </w:r>
            <w:r>
              <w:rPr>
                <w:rFonts w:hint="eastAsia" w:ascii="宋体" w:hAnsi="宋体"/>
                <w:lang w:val="en-US" w:eastAsia="zh-CN"/>
              </w:rPr>
              <w:t>图书采购类项目</w:t>
            </w:r>
            <w:r>
              <w:rPr>
                <w:rFonts w:hint="eastAsia" w:ascii="宋体" w:hAnsi="宋体"/>
              </w:rPr>
              <w:t>合同额（提供合同复印件并加盖公章）单笔2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万以上每个得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分，1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万每个得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分，15万元以下的每个得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分，最多得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</w:trPr>
        <w:tc>
          <w:tcPr>
            <w:tcW w:w="105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07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服务得分</w:t>
            </w:r>
          </w:p>
        </w:tc>
        <w:tc>
          <w:tcPr>
            <w:tcW w:w="1192" w:type="dxa"/>
            <w:vAlign w:val="center"/>
          </w:tcPr>
          <w:p>
            <w:pPr>
              <w:pStyle w:val="22"/>
              <w:numPr>
                <w:ilvl w:val="0"/>
                <w:numId w:val="0"/>
              </w:numPr>
              <w:spacing w:line="480" w:lineRule="auto"/>
              <w:ind w:left="120" w:left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5184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提供详细的售后服务内容、方式、流程以及售后服务保障与措施，售后服务流程清晰。服务响应时间在2小时以内（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售后服务内容、方式叙述一般，售后服务流程欠具体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5-14分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3.售后服务内容叙述不完整，无服务流程，无服务响应时间（0-5分）。</w:t>
            </w:r>
          </w:p>
          <w:p>
            <w:pPr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售后服务包括但不限于：</w:t>
            </w:r>
            <w:r>
              <w:rPr>
                <w:rFonts w:hint="eastAsia" w:ascii="宋体" w:hAnsi="宋体"/>
              </w:rPr>
              <w:t>承诺到货时间最短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</w:rPr>
              <w:t>提供的图书必须完全符合国家出版部门规定的图书质量标准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且均为</w:t>
            </w:r>
            <w:r>
              <w:rPr>
                <w:rFonts w:hint="eastAsia" w:ascii="宋体" w:hAnsi="宋体" w:eastAsia="宋体" w:cs="Times New Roman"/>
              </w:rPr>
              <w:t>全新正版合法出版物</w:t>
            </w:r>
            <w:r>
              <w:rPr>
                <w:rFonts w:hint="eastAsia" w:ascii="宋体" w:hAnsi="宋体" w:cs="Times New Roman"/>
                <w:lang w:eastAsia="zh-CN"/>
              </w:rPr>
              <w:t>；</w:t>
            </w:r>
            <w:r>
              <w:rPr>
                <w:rFonts w:hint="eastAsia" w:ascii="宋体" w:hAnsi="宋体"/>
              </w:rPr>
              <w:t>提供电子版详细新书目录，其中党史、方志、地情类专业图书书目多于千种，且</w:t>
            </w:r>
            <w:r>
              <w:rPr>
                <w:rFonts w:hint="eastAsia" w:ascii="宋体" w:hAnsi="宋体"/>
                <w:lang w:val="en-US" w:eastAsia="zh-CN"/>
              </w:rPr>
              <w:t>所</w:t>
            </w:r>
            <w:r>
              <w:rPr>
                <w:rFonts w:hint="eastAsia" w:ascii="宋体" w:hAnsi="宋体"/>
              </w:rPr>
              <w:t>提供图书目录中图书ISBN、出版社名称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价格</w:t>
            </w:r>
            <w:r>
              <w:rPr>
                <w:rFonts w:hint="eastAsia" w:ascii="宋体" w:hAnsi="宋体"/>
              </w:rPr>
              <w:t>的信息准确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</w:tbl>
    <w:p>
      <w:pPr>
        <w:tabs>
          <w:tab w:val="left" w:pos="4620"/>
        </w:tabs>
        <w:spacing w:line="480" w:lineRule="auto"/>
        <w:jc w:val="center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评分</w:t>
      </w:r>
      <w:r>
        <w:rPr>
          <w:rFonts w:hint="eastAsia" w:ascii="宋体" w:hAnsi="宋体"/>
          <w:sz w:val="36"/>
          <w:szCs w:val="36"/>
          <w:lang w:val="en-US" w:eastAsia="zh-CN"/>
        </w:rPr>
        <w:t>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NGUyZTM3YjU4OWY3YWM0MWUxMjgxNGU0ZmFmMmUifQ=="/>
  </w:docVars>
  <w:rsids>
    <w:rsidRoot w:val="2F3334EA"/>
    <w:rsid w:val="00021EBE"/>
    <w:rsid w:val="000671D6"/>
    <w:rsid w:val="000846EE"/>
    <w:rsid w:val="000A7B98"/>
    <w:rsid w:val="00142911"/>
    <w:rsid w:val="0015196E"/>
    <w:rsid w:val="001F1CFC"/>
    <w:rsid w:val="00202DFB"/>
    <w:rsid w:val="0020758F"/>
    <w:rsid w:val="00223E83"/>
    <w:rsid w:val="0024230C"/>
    <w:rsid w:val="00297D13"/>
    <w:rsid w:val="002A2DAB"/>
    <w:rsid w:val="002D4A4E"/>
    <w:rsid w:val="00315110"/>
    <w:rsid w:val="003214A7"/>
    <w:rsid w:val="00321CFC"/>
    <w:rsid w:val="00344AD0"/>
    <w:rsid w:val="00352FE1"/>
    <w:rsid w:val="003A3FD4"/>
    <w:rsid w:val="0049305F"/>
    <w:rsid w:val="00510BA3"/>
    <w:rsid w:val="00527B20"/>
    <w:rsid w:val="00545883"/>
    <w:rsid w:val="00561FE9"/>
    <w:rsid w:val="00584110"/>
    <w:rsid w:val="005A13A0"/>
    <w:rsid w:val="005D1E81"/>
    <w:rsid w:val="005D43E7"/>
    <w:rsid w:val="005D7584"/>
    <w:rsid w:val="00605F09"/>
    <w:rsid w:val="006208E0"/>
    <w:rsid w:val="006A19AB"/>
    <w:rsid w:val="006A41B7"/>
    <w:rsid w:val="007021EC"/>
    <w:rsid w:val="00786292"/>
    <w:rsid w:val="007C75C1"/>
    <w:rsid w:val="007D0B00"/>
    <w:rsid w:val="0085412F"/>
    <w:rsid w:val="00917333"/>
    <w:rsid w:val="00967055"/>
    <w:rsid w:val="00996FF9"/>
    <w:rsid w:val="009F20C6"/>
    <w:rsid w:val="00A20CA1"/>
    <w:rsid w:val="00A34F8C"/>
    <w:rsid w:val="00AD0F50"/>
    <w:rsid w:val="00B52FF6"/>
    <w:rsid w:val="00B65A4A"/>
    <w:rsid w:val="00B83AD8"/>
    <w:rsid w:val="00B95567"/>
    <w:rsid w:val="00BA080A"/>
    <w:rsid w:val="00C0601F"/>
    <w:rsid w:val="00C51C18"/>
    <w:rsid w:val="00C752AF"/>
    <w:rsid w:val="00C82DD3"/>
    <w:rsid w:val="00C83216"/>
    <w:rsid w:val="00CA5C67"/>
    <w:rsid w:val="00D06769"/>
    <w:rsid w:val="00D159AA"/>
    <w:rsid w:val="00D464C4"/>
    <w:rsid w:val="00D5485A"/>
    <w:rsid w:val="00DA37D3"/>
    <w:rsid w:val="00DF623F"/>
    <w:rsid w:val="00E6755C"/>
    <w:rsid w:val="00E80711"/>
    <w:rsid w:val="00F2203B"/>
    <w:rsid w:val="00F80748"/>
    <w:rsid w:val="00FE4443"/>
    <w:rsid w:val="00FE7964"/>
    <w:rsid w:val="01556784"/>
    <w:rsid w:val="051225D4"/>
    <w:rsid w:val="06C96DB3"/>
    <w:rsid w:val="06D8103E"/>
    <w:rsid w:val="0A0C3134"/>
    <w:rsid w:val="0B45777B"/>
    <w:rsid w:val="13B9676A"/>
    <w:rsid w:val="152C54D4"/>
    <w:rsid w:val="16524484"/>
    <w:rsid w:val="18B63A97"/>
    <w:rsid w:val="1AA77B3D"/>
    <w:rsid w:val="1FCE24F7"/>
    <w:rsid w:val="21682568"/>
    <w:rsid w:val="24AB4E70"/>
    <w:rsid w:val="282F0A62"/>
    <w:rsid w:val="28C20FA1"/>
    <w:rsid w:val="2AEE5863"/>
    <w:rsid w:val="2F3334EA"/>
    <w:rsid w:val="31811544"/>
    <w:rsid w:val="31B94B02"/>
    <w:rsid w:val="32585020"/>
    <w:rsid w:val="377867BE"/>
    <w:rsid w:val="37846336"/>
    <w:rsid w:val="3E59459E"/>
    <w:rsid w:val="3EF21372"/>
    <w:rsid w:val="40A60F7F"/>
    <w:rsid w:val="42BA2C13"/>
    <w:rsid w:val="42C70217"/>
    <w:rsid w:val="45FF5EE9"/>
    <w:rsid w:val="4CE57B8C"/>
    <w:rsid w:val="4FCA2B66"/>
    <w:rsid w:val="539E6A2C"/>
    <w:rsid w:val="56DA7D27"/>
    <w:rsid w:val="57573FD8"/>
    <w:rsid w:val="5BF979DA"/>
    <w:rsid w:val="63A04521"/>
    <w:rsid w:val="69117D33"/>
    <w:rsid w:val="6F796D43"/>
    <w:rsid w:val="745F2DF8"/>
    <w:rsid w:val="74E94D06"/>
    <w:rsid w:val="7B3A03BD"/>
    <w:rsid w:val="7C596E73"/>
    <w:rsid w:val="7F09602A"/>
    <w:rsid w:val="7F2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0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正文文本 (2)1"/>
    <w:basedOn w:val="1"/>
    <w:link w:val="17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16">
    <w:name w:val="正文文本 (2)"/>
    <w:basedOn w:val="17"/>
    <w:qFormat/>
    <w:uiPriority w:val="99"/>
    <w:rPr>
      <w:rFonts w:ascii="MingLiU" w:eastAsia="MingLiU" w:cs="MingLiU"/>
      <w:sz w:val="13"/>
      <w:szCs w:val="13"/>
      <w:shd w:val="clear" w:color="auto" w:fill="FFFFFF"/>
    </w:rPr>
  </w:style>
  <w:style w:type="character" w:customStyle="1" w:styleId="17">
    <w:name w:val="正文文本 (2)_"/>
    <w:basedOn w:val="13"/>
    <w:link w:val="15"/>
    <w:qFormat/>
    <w:uiPriority w:val="99"/>
    <w:rPr>
      <w:rFonts w:ascii="MingLiU" w:eastAsia="MingLiU" w:cs="MingLiU"/>
      <w:sz w:val="13"/>
      <w:szCs w:val="13"/>
    </w:rPr>
  </w:style>
  <w:style w:type="character" w:customStyle="1" w:styleId="18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character" w:customStyle="1" w:styleId="21">
    <w:name w:val="标题 字符"/>
    <w:basedOn w:val="13"/>
    <w:link w:val="1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font15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161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  <w:vertAlign w:val="superscript"/>
    </w:rPr>
  </w:style>
  <w:style w:type="character" w:customStyle="1" w:styleId="25">
    <w:name w:val="font91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26">
    <w:name w:val="font171"/>
    <w:basedOn w:val="13"/>
    <w:qFormat/>
    <w:uiPriority w:val="0"/>
    <w:rPr>
      <w:rFonts w:hint="eastAsia" w:ascii="华文仿宋" w:hAnsi="华文仿宋" w:eastAsia="华文仿宋" w:cs="华文仿宋"/>
      <w:color w:val="000000"/>
      <w:sz w:val="18"/>
      <w:szCs w:val="18"/>
      <w:u w:val="none"/>
      <w:vertAlign w:val="superscript"/>
    </w:rPr>
  </w:style>
  <w:style w:type="character" w:customStyle="1" w:styleId="27">
    <w:name w:val="font101"/>
    <w:basedOn w:val="13"/>
    <w:qFormat/>
    <w:uiPriority w:val="0"/>
    <w:rPr>
      <w:rFonts w:hint="eastAsia" w:ascii="华文仿宋" w:hAnsi="华文仿宋" w:eastAsia="华文仿宋" w:cs="华文仿宋"/>
      <w:color w:val="000000"/>
      <w:sz w:val="18"/>
      <w:szCs w:val="18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1055</Characters>
  <Lines>9</Lines>
  <Paragraphs>2</Paragraphs>
  <TotalTime>3</TotalTime>
  <ScaleCrop>false</ScaleCrop>
  <LinksUpToDate>false</LinksUpToDate>
  <CharactersWithSpaces>1191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2021-10-20T00:46:00Z</dcterms:created>
  <dc:creator>宏图科技</dc:creator>
  <cp:lastModifiedBy>咩咩</cp:lastModifiedBy>
  <cp:lastPrinted>2022-03-28T01:47:00Z</cp:lastPrinted>
  <dcterms:modified xsi:type="dcterms:W3CDTF">2023-03-29T01:23:40Z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37AA6694069C4E2AAAA6A29E2580962A</vt:lpwstr>
  </property>
</Properties>
</file>